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09" w:rsidRPr="002D4BE2" w:rsidRDefault="008C5C09" w:rsidP="002D4BE2">
      <w:pPr>
        <w:rPr>
          <w:b/>
          <w:sz w:val="28"/>
          <w:szCs w:val="28"/>
        </w:rPr>
      </w:pPr>
    </w:p>
    <w:p w:rsidR="008C5C09" w:rsidRPr="00870FE2" w:rsidRDefault="008C5C09" w:rsidP="008C5C09">
      <w:pPr>
        <w:pStyle w:val="NoSpacing"/>
        <w:rPr>
          <w:rFonts w:ascii="Times New Roman" w:hAnsi="Times New Roman" w:cs="Times New Roman"/>
          <w:sz w:val="24"/>
          <w:szCs w:val="24"/>
        </w:rPr>
      </w:pPr>
      <w:proofErr w:type="spellStart"/>
      <w:r w:rsidRPr="00870FE2">
        <w:rPr>
          <w:rFonts w:ascii="Times New Roman" w:hAnsi="Times New Roman" w:cs="Times New Roman"/>
          <w:sz w:val="24"/>
          <w:szCs w:val="24"/>
        </w:rPr>
        <w:t>Jавно</w:t>
      </w:r>
      <w:proofErr w:type="spellEnd"/>
      <w:r w:rsidRPr="00870FE2">
        <w:rPr>
          <w:rFonts w:ascii="Times New Roman" w:hAnsi="Times New Roman" w:cs="Times New Roman"/>
          <w:sz w:val="24"/>
          <w:szCs w:val="24"/>
        </w:rPr>
        <w:t xml:space="preserve"> </w:t>
      </w:r>
      <w:proofErr w:type="spellStart"/>
      <w:r w:rsidRPr="00870FE2">
        <w:rPr>
          <w:rFonts w:ascii="Times New Roman" w:hAnsi="Times New Roman" w:cs="Times New Roman"/>
          <w:sz w:val="24"/>
          <w:szCs w:val="24"/>
        </w:rPr>
        <w:t>предузеће”Комуналац</w:t>
      </w:r>
      <w:proofErr w:type="spellEnd"/>
      <w:r w:rsidRPr="00870FE2">
        <w:rPr>
          <w:rFonts w:ascii="Times New Roman" w:hAnsi="Times New Roman" w:cs="Times New Roman"/>
          <w:sz w:val="24"/>
          <w:szCs w:val="24"/>
        </w:rPr>
        <w:t>“</w:t>
      </w:r>
    </w:p>
    <w:p w:rsidR="008C5C09" w:rsidRPr="00870FE2" w:rsidRDefault="008C5C09" w:rsidP="008C5C09">
      <w:pPr>
        <w:pStyle w:val="NoSpacing"/>
        <w:rPr>
          <w:rFonts w:ascii="Times New Roman" w:hAnsi="Times New Roman" w:cs="Times New Roman"/>
          <w:sz w:val="24"/>
          <w:szCs w:val="24"/>
        </w:rPr>
      </w:pPr>
      <w:proofErr w:type="spellStart"/>
      <w:r w:rsidRPr="00870FE2">
        <w:rPr>
          <w:rFonts w:ascii="Times New Roman" w:hAnsi="Times New Roman" w:cs="Times New Roman"/>
          <w:sz w:val="24"/>
          <w:szCs w:val="24"/>
        </w:rPr>
        <w:t>Вука</w:t>
      </w:r>
      <w:proofErr w:type="spellEnd"/>
      <w:r w:rsidRPr="00870FE2">
        <w:rPr>
          <w:rFonts w:ascii="Times New Roman" w:hAnsi="Times New Roman" w:cs="Times New Roman"/>
          <w:sz w:val="24"/>
          <w:szCs w:val="24"/>
        </w:rPr>
        <w:t xml:space="preserve"> </w:t>
      </w:r>
      <w:proofErr w:type="spellStart"/>
      <w:r w:rsidRPr="00870FE2">
        <w:rPr>
          <w:rFonts w:ascii="Times New Roman" w:hAnsi="Times New Roman" w:cs="Times New Roman"/>
          <w:sz w:val="24"/>
          <w:szCs w:val="24"/>
        </w:rPr>
        <w:t>Караџића</w:t>
      </w:r>
      <w:proofErr w:type="spellEnd"/>
      <w:r w:rsidRPr="00870FE2">
        <w:rPr>
          <w:rFonts w:ascii="Times New Roman" w:hAnsi="Times New Roman" w:cs="Times New Roman"/>
          <w:sz w:val="24"/>
          <w:szCs w:val="24"/>
        </w:rPr>
        <w:t xml:space="preserve"> 45</w:t>
      </w:r>
    </w:p>
    <w:p w:rsidR="008C5C09" w:rsidRPr="00870FE2" w:rsidRDefault="008C5C09" w:rsidP="008C5C09">
      <w:r w:rsidRPr="00870FE2">
        <w:t>Ириг</w:t>
      </w:r>
    </w:p>
    <w:p w:rsidR="008C5C09" w:rsidRPr="00870FE2" w:rsidRDefault="008C5C09" w:rsidP="008C5C09">
      <w:pPr>
        <w:pStyle w:val="NoSpacing"/>
        <w:rPr>
          <w:rFonts w:ascii="Times New Roman" w:hAnsi="Times New Roman" w:cs="Times New Roman"/>
          <w:sz w:val="24"/>
          <w:szCs w:val="24"/>
        </w:rPr>
      </w:pPr>
      <w:r w:rsidRPr="00870FE2">
        <w:rPr>
          <w:rFonts w:ascii="Times New Roman" w:hAnsi="Times New Roman" w:cs="Times New Roman"/>
          <w:sz w:val="24"/>
          <w:szCs w:val="24"/>
        </w:rPr>
        <w:t xml:space="preserve"> </w:t>
      </w:r>
      <w:proofErr w:type="spellStart"/>
      <w:r w:rsidRPr="00870FE2">
        <w:rPr>
          <w:rFonts w:ascii="Times New Roman" w:hAnsi="Times New Roman" w:cs="Times New Roman"/>
          <w:sz w:val="24"/>
          <w:szCs w:val="24"/>
        </w:rPr>
        <w:t>Комисија</w:t>
      </w:r>
      <w:proofErr w:type="spellEnd"/>
      <w:r w:rsidRPr="00870FE2">
        <w:rPr>
          <w:rFonts w:ascii="Times New Roman" w:hAnsi="Times New Roman" w:cs="Times New Roman"/>
          <w:sz w:val="24"/>
          <w:szCs w:val="24"/>
        </w:rPr>
        <w:t xml:space="preserve"> </w:t>
      </w:r>
      <w:proofErr w:type="spellStart"/>
      <w:r w:rsidRPr="00870FE2">
        <w:rPr>
          <w:rFonts w:ascii="Times New Roman" w:hAnsi="Times New Roman" w:cs="Times New Roman"/>
          <w:sz w:val="24"/>
          <w:szCs w:val="24"/>
        </w:rPr>
        <w:t>за</w:t>
      </w:r>
      <w:proofErr w:type="spellEnd"/>
      <w:r w:rsidRPr="00870FE2">
        <w:rPr>
          <w:rFonts w:ascii="Times New Roman" w:hAnsi="Times New Roman" w:cs="Times New Roman"/>
          <w:sz w:val="24"/>
          <w:szCs w:val="24"/>
        </w:rPr>
        <w:t xml:space="preserve"> </w:t>
      </w:r>
      <w:proofErr w:type="spellStart"/>
      <w:r w:rsidRPr="00870FE2">
        <w:rPr>
          <w:rFonts w:ascii="Times New Roman" w:hAnsi="Times New Roman" w:cs="Times New Roman"/>
          <w:sz w:val="24"/>
          <w:szCs w:val="24"/>
        </w:rPr>
        <w:t>јавну</w:t>
      </w:r>
      <w:proofErr w:type="spellEnd"/>
      <w:r w:rsidRPr="00870FE2">
        <w:rPr>
          <w:rFonts w:ascii="Times New Roman" w:hAnsi="Times New Roman" w:cs="Times New Roman"/>
          <w:sz w:val="24"/>
          <w:szCs w:val="24"/>
        </w:rPr>
        <w:t xml:space="preserve"> </w:t>
      </w:r>
      <w:proofErr w:type="spellStart"/>
      <w:r w:rsidRPr="00870FE2">
        <w:rPr>
          <w:rFonts w:ascii="Times New Roman" w:hAnsi="Times New Roman" w:cs="Times New Roman"/>
          <w:sz w:val="24"/>
          <w:szCs w:val="24"/>
        </w:rPr>
        <w:t>набавку</w:t>
      </w:r>
      <w:proofErr w:type="spellEnd"/>
      <w:r w:rsidRPr="00870FE2">
        <w:rPr>
          <w:rFonts w:ascii="Times New Roman" w:hAnsi="Times New Roman" w:cs="Times New Roman"/>
          <w:sz w:val="24"/>
          <w:szCs w:val="24"/>
        </w:rPr>
        <w:t xml:space="preserve"> </w:t>
      </w:r>
    </w:p>
    <w:p w:rsidR="008C5C09" w:rsidRPr="00870FE2" w:rsidRDefault="008C5C09" w:rsidP="008C5C09">
      <w:pPr>
        <w:pStyle w:val="NoSpacing"/>
        <w:rPr>
          <w:rFonts w:ascii="Times New Roman" w:hAnsi="Times New Roman" w:cs="Times New Roman"/>
          <w:sz w:val="24"/>
          <w:szCs w:val="24"/>
        </w:rPr>
      </w:pPr>
      <w:r w:rsidRPr="00870FE2">
        <w:rPr>
          <w:rFonts w:ascii="Times New Roman" w:hAnsi="Times New Roman" w:cs="Times New Roman"/>
          <w:sz w:val="24"/>
          <w:szCs w:val="24"/>
        </w:rPr>
        <w:t>Број</w:t>
      </w:r>
      <w:proofErr w:type="gramStart"/>
      <w:r w:rsidRPr="00870FE2">
        <w:rPr>
          <w:rFonts w:ascii="Times New Roman" w:hAnsi="Times New Roman" w:cs="Times New Roman"/>
          <w:sz w:val="24"/>
          <w:szCs w:val="24"/>
        </w:rPr>
        <w:t>:1</w:t>
      </w:r>
      <w:proofErr w:type="gramEnd"/>
      <w:r w:rsidRPr="00870FE2">
        <w:rPr>
          <w:rFonts w:ascii="Times New Roman" w:hAnsi="Times New Roman" w:cs="Times New Roman"/>
          <w:sz w:val="24"/>
          <w:szCs w:val="24"/>
        </w:rPr>
        <w:t>/16</w:t>
      </w:r>
    </w:p>
    <w:p w:rsidR="008C5C09" w:rsidRPr="00870FE2" w:rsidRDefault="00870FE2" w:rsidP="008C5C09">
      <w:pPr>
        <w:pStyle w:val="NoSpacing"/>
        <w:rPr>
          <w:rFonts w:ascii="Times New Roman" w:hAnsi="Times New Roman" w:cs="Times New Roman"/>
          <w:sz w:val="24"/>
          <w:szCs w:val="24"/>
        </w:rPr>
      </w:pPr>
      <w:r w:rsidRPr="00870FE2">
        <w:rPr>
          <w:rFonts w:ascii="Times New Roman" w:hAnsi="Times New Roman" w:cs="Times New Roman"/>
          <w:sz w:val="24"/>
          <w:szCs w:val="24"/>
        </w:rPr>
        <w:t xml:space="preserve"> </w:t>
      </w:r>
      <w:proofErr w:type="spellStart"/>
      <w:r w:rsidRPr="00870FE2">
        <w:rPr>
          <w:rFonts w:ascii="Times New Roman" w:hAnsi="Times New Roman" w:cs="Times New Roman"/>
          <w:sz w:val="24"/>
          <w:szCs w:val="24"/>
        </w:rPr>
        <w:t>Ириг</w:t>
      </w:r>
      <w:proofErr w:type="spellEnd"/>
      <w:r w:rsidRPr="00870FE2">
        <w:rPr>
          <w:rFonts w:ascii="Times New Roman" w:hAnsi="Times New Roman" w:cs="Times New Roman"/>
          <w:sz w:val="24"/>
          <w:szCs w:val="24"/>
        </w:rPr>
        <w:t>, 01.03</w:t>
      </w:r>
      <w:r w:rsidR="008C5C09" w:rsidRPr="00870FE2">
        <w:rPr>
          <w:rFonts w:ascii="Times New Roman" w:hAnsi="Times New Roman" w:cs="Times New Roman"/>
          <w:sz w:val="24"/>
          <w:szCs w:val="24"/>
        </w:rPr>
        <w:t xml:space="preserve">.2016.године </w:t>
      </w:r>
    </w:p>
    <w:p w:rsidR="008C5C09" w:rsidRPr="00870FE2" w:rsidRDefault="008C5C09" w:rsidP="008C5C09">
      <w:pPr>
        <w:pStyle w:val="NoSpacing"/>
        <w:rPr>
          <w:rFonts w:ascii="Times New Roman" w:hAnsi="Times New Roman" w:cs="Times New Roman"/>
          <w:sz w:val="24"/>
          <w:szCs w:val="24"/>
        </w:rPr>
      </w:pPr>
      <w:r w:rsidRPr="00870FE2">
        <w:rPr>
          <w:rFonts w:ascii="Times New Roman" w:hAnsi="Times New Roman" w:cs="Times New Roman"/>
          <w:sz w:val="24"/>
          <w:szCs w:val="24"/>
        </w:rPr>
        <w:t xml:space="preserve">Тел.022/461-303 </w:t>
      </w:r>
    </w:p>
    <w:p w:rsidR="008C5C09" w:rsidRPr="00870FE2" w:rsidRDefault="008C5C09" w:rsidP="008C5C09">
      <w:r w:rsidRPr="00870FE2">
        <w:t xml:space="preserve">Фах:022/461-806 </w:t>
      </w:r>
    </w:p>
    <w:p w:rsidR="00870FE2" w:rsidRDefault="00870FE2" w:rsidP="008C5C09"/>
    <w:p w:rsidR="008C5C09" w:rsidRDefault="008C5C09" w:rsidP="008C5C09">
      <w:r>
        <w:t xml:space="preserve">На основу члана 63. Закона о јавним набавкама („Службени гласник РС“број 124/2012, 14/2015, 68/2015), Комисија за јавну набавку образована Решењем  директора број 1/16 од 23.02.2016.године, сачинила је </w:t>
      </w:r>
    </w:p>
    <w:p w:rsidR="00870FE2" w:rsidRDefault="00870FE2" w:rsidP="008C5C09"/>
    <w:p w:rsidR="00870FE2" w:rsidRDefault="008C5C09" w:rsidP="00870FE2">
      <w:pPr>
        <w:ind w:left="2160" w:firstLine="720"/>
      </w:pPr>
      <w:r>
        <w:t xml:space="preserve">ИЗМЕНЕ/ДОПУНЕ КОНКУРСНЕ </w:t>
      </w:r>
    </w:p>
    <w:p w:rsidR="008C5C09" w:rsidRDefault="008C5C09" w:rsidP="00870FE2">
      <w:pPr>
        <w:ind w:left="2160" w:firstLine="720"/>
      </w:pPr>
      <w:r>
        <w:t xml:space="preserve">ДОКУМЕНТАЦИЈЕ ЗА ЈАВНУ НАБАВКУ </w:t>
      </w:r>
    </w:p>
    <w:p w:rsidR="008C5C09" w:rsidRPr="00B87BF3" w:rsidRDefault="008C5C09" w:rsidP="008C5C09">
      <w:pPr>
        <w:ind w:left="720" w:firstLine="720"/>
      </w:pPr>
      <w:r>
        <w:t>НАБАВКА ДОБАРА –МАТЕРИЈАЛ ЗА ОДРЖАВАЊЕ УЛИЧНЕ РАСВЕТЕ</w:t>
      </w:r>
    </w:p>
    <w:p w:rsidR="008C5C09" w:rsidRDefault="008C5C09" w:rsidP="008C5C09">
      <w:pPr>
        <w:ind w:left="2880" w:firstLine="720"/>
      </w:pPr>
      <w:r>
        <w:t xml:space="preserve">БР.ЈН 1/16 </w:t>
      </w:r>
    </w:p>
    <w:p w:rsidR="008C5C09" w:rsidRDefault="008C5C09" w:rsidP="008C5C09">
      <w:r>
        <w:t>На основу члана 63. став 1. Закона о јавним набавкама („Сл. гласник РС” бр. 124/2012, 14/2015,68/2015) у  поступку  јавнe набавкe мале вредности- Набавка добара-материјал за одржавање уличне расвете ,</w:t>
      </w:r>
      <w:r w:rsidRPr="00C4625F">
        <w:t xml:space="preserve"> </w:t>
      </w:r>
      <w:r>
        <w:t>Наручилац је изменио конкурсну документацију и то:</w:t>
      </w:r>
    </w:p>
    <w:p w:rsidR="008C5C09" w:rsidRPr="008C5C09" w:rsidRDefault="008C5C09" w:rsidP="008C5C09"/>
    <w:p w:rsidR="008C5C09" w:rsidRDefault="008C5C09" w:rsidP="008C5C09">
      <w:r>
        <w:t>У</w:t>
      </w:r>
      <w:r w:rsidR="00870FE2">
        <w:t xml:space="preserve"> конкурсној документацији, 7-</w:t>
      </w:r>
      <w:r>
        <w:t>1. ТАБЕЛАРНИ ДЕО ПОНУДЕ СПЕЦИФИКАЦИЈА</w:t>
      </w:r>
    </w:p>
    <w:p w:rsidR="008C5C09" w:rsidRPr="008C5C09" w:rsidRDefault="008C5C09" w:rsidP="008C5C09"/>
    <w:p w:rsidR="008C5C09" w:rsidRDefault="008C5C09" w:rsidP="008C5C09">
      <w:r>
        <w:t>на страни 23/32  дошло је до техничке грешке:</w:t>
      </w:r>
    </w:p>
    <w:p w:rsidR="008C5C09" w:rsidRDefault="008C5C09" w:rsidP="008C5C09"/>
    <w:p w:rsidR="008C5C09" w:rsidRDefault="008C5C09" w:rsidP="008C5C09">
      <w:r>
        <w:t>Редни број 1</w:t>
      </w:r>
      <w:r w:rsidR="00870FE2">
        <w:t>.- У колони назив добара</w:t>
      </w:r>
      <w:r>
        <w:t xml:space="preserve"> уместо живина сијалица 125W треба да стоји натријумова сијалица 110</w:t>
      </w:r>
      <w:r w:rsidRPr="007A7ECA">
        <w:t xml:space="preserve"> </w:t>
      </w:r>
      <w:r>
        <w:t xml:space="preserve">W и у колони </w:t>
      </w:r>
      <w:r w:rsidR="00870FE2">
        <w:t xml:space="preserve">оквирне </w:t>
      </w:r>
      <w:r>
        <w:t>количина уместо 600 треба да стоји 220.</w:t>
      </w:r>
    </w:p>
    <w:p w:rsidR="008C5C09" w:rsidRDefault="008C5C09" w:rsidP="008C5C09"/>
    <w:p w:rsidR="008C5C09" w:rsidRDefault="008C5C09" w:rsidP="008C5C09">
      <w:r>
        <w:t xml:space="preserve">У складу са наведеним изменама објављујемо нови табеларни део спецификације (стране 23-25/32 конкурсне документације) који се налази у прилогу ове измене. </w:t>
      </w:r>
    </w:p>
    <w:p w:rsidR="00DB36AF" w:rsidRPr="00C47CE8" w:rsidRDefault="00DB36AF" w:rsidP="008C5C09">
      <w:pPr>
        <w:rPr>
          <w:b/>
        </w:rPr>
      </w:pPr>
    </w:p>
    <w:p w:rsidR="008C5C09" w:rsidRDefault="00DB36AF" w:rsidP="008C5C09">
      <w:pPr>
        <w:rPr>
          <w:u w:val="single"/>
        </w:rPr>
      </w:pPr>
      <w:r w:rsidRPr="00C47CE8">
        <w:rPr>
          <w:b/>
          <w:u w:val="single"/>
        </w:rPr>
        <w:t>Нови</w:t>
      </w:r>
      <w:r w:rsidR="009F67C7" w:rsidRPr="00C47CE8">
        <w:rPr>
          <w:b/>
          <w:u w:val="single"/>
        </w:rPr>
        <w:t xml:space="preserve"> рок за подношење понуда је 0</w:t>
      </w:r>
      <w:r w:rsidR="009F67C7" w:rsidRPr="00C47CE8">
        <w:rPr>
          <w:b/>
          <w:u w:val="single"/>
          <w:lang/>
        </w:rPr>
        <w:t>9</w:t>
      </w:r>
      <w:r w:rsidR="009F67C7" w:rsidRPr="00C47CE8">
        <w:rPr>
          <w:b/>
          <w:u w:val="single"/>
        </w:rPr>
        <w:t xml:space="preserve">.03.2016.године до </w:t>
      </w:r>
      <w:r w:rsidR="009F67C7" w:rsidRPr="00C47CE8">
        <w:rPr>
          <w:b/>
          <w:u w:val="single"/>
          <w:lang/>
        </w:rPr>
        <w:t>12</w:t>
      </w:r>
      <w:r w:rsidRPr="00C47CE8">
        <w:rPr>
          <w:b/>
          <w:u w:val="single"/>
        </w:rPr>
        <w:t xml:space="preserve"> часова</w:t>
      </w:r>
      <w:r w:rsidRPr="00DB36AF">
        <w:rPr>
          <w:u w:val="single"/>
        </w:rPr>
        <w:t>.</w:t>
      </w:r>
    </w:p>
    <w:p w:rsidR="00DB36AF" w:rsidRPr="00C47CE8" w:rsidRDefault="00DB36AF" w:rsidP="008C5C09">
      <w:pPr>
        <w:rPr>
          <w:b/>
          <w:u w:val="single"/>
        </w:rPr>
      </w:pPr>
      <w:r w:rsidRPr="00C47CE8">
        <w:rPr>
          <w:b/>
          <w:u w:val="single"/>
        </w:rPr>
        <w:t>Јавно отварање п</w:t>
      </w:r>
      <w:r w:rsidR="009F67C7" w:rsidRPr="00C47CE8">
        <w:rPr>
          <w:b/>
          <w:u w:val="single"/>
        </w:rPr>
        <w:t>онуда обавиће се истог дана у 1</w:t>
      </w:r>
      <w:r w:rsidR="009F67C7" w:rsidRPr="00C47CE8">
        <w:rPr>
          <w:b/>
          <w:u w:val="single"/>
          <w:lang/>
        </w:rPr>
        <w:t>3</w:t>
      </w:r>
      <w:r w:rsidRPr="00C47CE8">
        <w:rPr>
          <w:b/>
          <w:u w:val="single"/>
        </w:rPr>
        <w:t xml:space="preserve"> часова у просторијама Наручиоца.</w:t>
      </w:r>
    </w:p>
    <w:p w:rsidR="00DB36AF" w:rsidRPr="00C47CE8" w:rsidRDefault="00DB36AF" w:rsidP="008C5C09">
      <w:pPr>
        <w:rPr>
          <w:b/>
          <w:u w:val="single"/>
        </w:rPr>
      </w:pPr>
    </w:p>
    <w:p w:rsidR="008C5C09" w:rsidRDefault="008C5C09" w:rsidP="008C5C09">
      <w:r>
        <w:t xml:space="preserve">Заинтересовани понуђачи дужни су да понуде сачине са овом изменом. У супротном понуда ће се одбити као неприхватљива. </w:t>
      </w:r>
    </w:p>
    <w:p w:rsidR="008C5C09" w:rsidRPr="008C5C09" w:rsidRDefault="008C5C09" w:rsidP="008C5C09"/>
    <w:p w:rsidR="008C5C09" w:rsidRPr="00DB36AF" w:rsidRDefault="008C5C09" w:rsidP="008C5C09">
      <w:r>
        <w:t>Измена</w:t>
      </w:r>
      <w:r w:rsidR="00DB36AF">
        <w:t>/допуна</w:t>
      </w:r>
      <w:r>
        <w:t xml:space="preserve"> конкурсне документације</w:t>
      </w:r>
      <w:r w:rsidR="00DB36AF">
        <w:t xml:space="preserve"> и продужење рока за подношење понуда објавити  на Порталу јавних набавки</w:t>
      </w:r>
      <w:r>
        <w:t xml:space="preserve"> и  на интернет страници </w:t>
      </w:r>
      <w:r w:rsidR="00DB36AF">
        <w:t>Наручиоца.</w:t>
      </w:r>
    </w:p>
    <w:p w:rsidR="008C5C09" w:rsidRDefault="008C5C09" w:rsidP="008C5C09"/>
    <w:p w:rsidR="008C5C09" w:rsidRPr="002D4BE2" w:rsidRDefault="008C5C09" w:rsidP="008C5C09"/>
    <w:p w:rsidR="008C5C09" w:rsidRDefault="008C5C09" w:rsidP="008C5C09">
      <w:r>
        <w:t xml:space="preserve"> </w:t>
      </w:r>
      <w:r>
        <w:tab/>
      </w:r>
      <w:r>
        <w:tab/>
      </w:r>
      <w:r>
        <w:tab/>
      </w:r>
      <w:r>
        <w:tab/>
      </w:r>
      <w:r>
        <w:tab/>
      </w:r>
      <w:r>
        <w:tab/>
      </w:r>
      <w:r>
        <w:tab/>
        <w:t xml:space="preserve">КОМИСИЈА ЗА ЈАВНУ НАБАВКУ </w:t>
      </w:r>
    </w:p>
    <w:p w:rsidR="008C5C09" w:rsidRDefault="00E464D7" w:rsidP="008C5C09">
      <w:pPr>
        <w:ind w:left="5040" w:firstLine="720"/>
      </w:pPr>
      <w:r>
        <w:rPr>
          <w:lang/>
        </w:rPr>
        <w:t xml:space="preserve"> </w:t>
      </w:r>
      <w:r w:rsidR="008C5C09">
        <w:t>Jелена Илић,ср</w:t>
      </w:r>
    </w:p>
    <w:p w:rsidR="008C5C09" w:rsidRDefault="008C5C09" w:rsidP="008C5C09">
      <w:pPr>
        <w:ind w:left="5040" w:firstLine="720"/>
      </w:pPr>
      <w:r>
        <w:t xml:space="preserve"> Никола Јоксић,ср </w:t>
      </w:r>
    </w:p>
    <w:p w:rsidR="008C5C09" w:rsidRPr="00870FE2" w:rsidRDefault="00E464D7" w:rsidP="00870FE2">
      <w:pPr>
        <w:ind w:left="5760"/>
      </w:pPr>
      <w:r>
        <w:rPr>
          <w:lang/>
        </w:rPr>
        <w:t xml:space="preserve"> </w:t>
      </w:r>
      <w:r w:rsidR="008C5C09">
        <w:t>Пирошка Рађеновић,ср</w:t>
      </w:r>
    </w:p>
    <w:p w:rsidR="008C5C09" w:rsidRDefault="008C5C09" w:rsidP="008C5C09">
      <w:pPr>
        <w:jc w:val="center"/>
        <w:rPr>
          <w:b/>
          <w:sz w:val="28"/>
          <w:szCs w:val="28"/>
        </w:rPr>
      </w:pPr>
    </w:p>
    <w:p w:rsidR="008C5C09" w:rsidRDefault="008C5C09" w:rsidP="008C5C09">
      <w:pPr>
        <w:jc w:val="center"/>
        <w:rPr>
          <w:b/>
          <w:lang w:val="sr-Cyrl-CS"/>
        </w:rPr>
      </w:pPr>
      <w:r>
        <w:rPr>
          <w:b/>
          <w:sz w:val="28"/>
          <w:szCs w:val="28"/>
        </w:rPr>
        <w:t>7</w:t>
      </w:r>
      <w:r w:rsidRPr="00304C01">
        <w:rPr>
          <w:b/>
          <w:sz w:val="28"/>
          <w:szCs w:val="28"/>
          <w:lang w:val="sr-Cyrl-CS"/>
        </w:rPr>
        <w:t xml:space="preserve"> -1.</w:t>
      </w:r>
      <w:r>
        <w:rPr>
          <w:lang w:val="sr-Cyrl-CS"/>
        </w:rPr>
        <w:t xml:space="preserve">  </w:t>
      </w:r>
      <w:r w:rsidRPr="00064408">
        <w:rPr>
          <w:b/>
          <w:lang w:val="sr-Cyrl-CS"/>
        </w:rPr>
        <w:t>ТАБЕЛАРНИ ДЕО ПОНУДЕ СПЕЦИФИКАЦИЈА</w:t>
      </w:r>
    </w:p>
    <w:p w:rsidR="008C5C09" w:rsidRDefault="008C5C09" w:rsidP="008C5C09">
      <w:pPr>
        <w:jc w:val="center"/>
        <w:rPr>
          <w:b/>
          <w:lang w:val="sr-Cyrl-CS"/>
        </w:rPr>
      </w:pPr>
    </w:p>
    <w:p w:rsidR="008C5C09" w:rsidRDefault="008C5C09" w:rsidP="008C5C09">
      <w:pPr>
        <w:rPr>
          <w:sz w:val="22"/>
          <w:szCs w:val="22"/>
          <w:lang w:val="sr-Cyrl-CS"/>
        </w:rPr>
      </w:pPr>
      <w:r>
        <w:rPr>
          <w:lang w:val="sr-Cyrl-CS"/>
        </w:rPr>
        <w:t>За јавну набавку добара-</w:t>
      </w:r>
      <w:r w:rsidRPr="005B507B">
        <w:rPr>
          <w:b/>
          <w:lang w:val="sr-Cyrl-CS"/>
        </w:rPr>
        <w:t>материјал за одржавање уличне расвете</w:t>
      </w:r>
      <w:r>
        <w:rPr>
          <w:lang w:val="sr-Cyrl-CS"/>
        </w:rPr>
        <w:t xml:space="preserve"> ЈН бр.1/16</w:t>
      </w:r>
    </w:p>
    <w:p w:rsidR="008C5C09" w:rsidRPr="009C2559" w:rsidRDefault="008C5C09" w:rsidP="008C5C09">
      <w:pPr>
        <w:rPr>
          <w:rFonts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3830"/>
        <w:gridCol w:w="709"/>
        <w:gridCol w:w="1134"/>
        <w:gridCol w:w="1701"/>
        <w:gridCol w:w="1984"/>
      </w:tblGrid>
      <w:tr w:rsidR="008C5C09" w:rsidRPr="00182B3F" w:rsidTr="00836E6E">
        <w:trPr>
          <w:trHeight w:val="355"/>
        </w:trPr>
        <w:tc>
          <w:tcPr>
            <w:tcW w:w="531" w:type="dxa"/>
          </w:tcPr>
          <w:p w:rsidR="008C5C09" w:rsidRPr="002D5AB7" w:rsidRDefault="008C5C09" w:rsidP="00836E6E">
            <w:pPr>
              <w:jc w:val="both"/>
              <w:rPr>
                <w:rFonts w:ascii="Arial" w:hAnsi="Arial" w:cs="Arial"/>
                <w:lang w:val="sr-Cyrl-CS"/>
              </w:rPr>
            </w:pPr>
            <w:r w:rsidRPr="002D5AB7">
              <w:rPr>
                <w:rFonts w:ascii="Arial" w:hAnsi="Arial" w:cs="Arial"/>
                <w:sz w:val="22"/>
                <w:szCs w:val="22"/>
                <w:lang w:val="sr-Cyrl-CS"/>
              </w:rPr>
              <w:t>РБ</w:t>
            </w:r>
          </w:p>
        </w:tc>
        <w:tc>
          <w:tcPr>
            <w:tcW w:w="3830" w:type="dxa"/>
          </w:tcPr>
          <w:p w:rsidR="008C5C09" w:rsidRPr="002D5AB7" w:rsidRDefault="008C5C09" w:rsidP="00836E6E">
            <w:pPr>
              <w:jc w:val="center"/>
              <w:rPr>
                <w:rFonts w:ascii="Arial" w:hAnsi="Arial" w:cs="Arial"/>
                <w:lang w:val="sr-Cyrl-CS"/>
              </w:rPr>
            </w:pPr>
            <w:r>
              <w:t>Назив добра</w:t>
            </w:r>
          </w:p>
        </w:tc>
        <w:tc>
          <w:tcPr>
            <w:tcW w:w="709" w:type="dxa"/>
          </w:tcPr>
          <w:p w:rsidR="008C5C09" w:rsidRPr="002D5AB7" w:rsidRDefault="008C5C09" w:rsidP="00836E6E">
            <w:pPr>
              <w:jc w:val="both"/>
              <w:rPr>
                <w:rFonts w:ascii="Arial" w:hAnsi="Arial" w:cs="Arial"/>
                <w:lang w:val="sr-Cyrl-CS"/>
              </w:rPr>
            </w:pPr>
            <w:r w:rsidRPr="002D5AB7">
              <w:rPr>
                <w:rFonts w:ascii="Arial" w:hAnsi="Arial" w:cs="Arial"/>
                <w:sz w:val="22"/>
                <w:szCs w:val="22"/>
                <w:lang w:val="sr-Cyrl-CS"/>
              </w:rPr>
              <w:t>Ј.М.</w:t>
            </w:r>
          </w:p>
        </w:tc>
        <w:tc>
          <w:tcPr>
            <w:tcW w:w="1134" w:type="dxa"/>
          </w:tcPr>
          <w:p w:rsidR="008C5C09" w:rsidRDefault="008C5C09" w:rsidP="00836E6E">
            <w:pPr>
              <w:jc w:val="both"/>
              <w:rPr>
                <w:rFonts w:ascii="Arial" w:hAnsi="Arial" w:cs="Arial"/>
                <w:lang w:val="sr-Cyrl-CS"/>
              </w:rPr>
            </w:pPr>
            <w:r>
              <w:rPr>
                <w:rFonts w:ascii="Arial" w:hAnsi="Arial" w:cs="Arial"/>
                <w:sz w:val="22"/>
                <w:szCs w:val="22"/>
                <w:lang w:val="sr-Cyrl-CS"/>
              </w:rPr>
              <w:t>Оквирне количи-</w:t>
            </w:r>
          </w:p>
          <w:p w:rsidR="008C5C09" w:rsidRPr="002D5AB7" w:rsidRDefault="008C5C09" w:rsidP="00836E6E">
            <w:pPr>
              <w:jc w:val="both"/>
              <w:rPr>
                <w:rFonts w:ascii="Arial" w:hAnsi="Arial" w:cs="Arial"/>
                <w:lang w:val="sr-Cyrl-CS"/>
              </w:rPr>
            </w:pPr>
            <w:r>
              <w:rPr>
                <w:rFonts w:ascii="Arial" w:hAnsi="Arial" w:cs="Arial"/>
                <w:sz w:val="22"/>
                <w:szCs w:val="22"/>
                <w:lang w:val="sr-Cyrl-CS"/>
              </w:rPr>
              <w:t>не</w:t>
            </w:r>
          </w:p>
        </w:tc>
        <w:tc>
          <w:tcPr>
            <w:tcW w:w="1701" w:type="dxa"/>
          </w:tcPr>
          <w:p w:rsidR="008C5C09" w:rsidRPr="002D5AB7" w:rsidRDefault="008C5C09" w:rsidP="00836E6E">
            <w:pPr>
              <w:rPr>
                <w:rFonts w:ascii="Arial" w:hAnsi="Arial" w:cs="Arial"/>
                <w:lang w:val="sr-Cyrl-CS"/>
              </w:rPr>
            </w:pPr>
            <w:r>
              <w:t xml:space="preserve"> Цена по јед.мере без ПДВ-а</w:t>
            </w:r>
          </w:p>
        </w:tc>
        <w:tc>
          <w:tcPr>
            <w:tcW w:w="1984" w:type="dxa"/>
          </w:tcPr>
          <w:p w:rsidR="008C5C09" w:rsidRPr="002D5AB7" w:rsidRDefault="008C5C09" w:rsidP="00836E6E">
            <w:pPr>
              <w:jc w:val="both"/>
              <w:rPr>
                <w:rFonts w:ascii="Arial" w:hAnsi="Arial" w:cs="Arial"/>
                <w:lang w:val="sr-Cyrl-CS"/>
              </w:rPr>
            </w:pPr>
            <w:r>
              <w:t>Укупна цена без ПДВ-а</w:t>
            </w:r>
          </w:p>
        </w:tc>
      </w:tr>
      <w:tr w:rsidR="008C5C09" w:rsidRPr="00182B3F" w:rsidTr="00836E6E">
        <w:trPr>
          <w:trHeight w:val="355"/>
        </w:trPr>
        <w:tc>
          <w:tcPr>
            <w:tcW w:w="531" w:type="dxa"/>
            <w:vAlign w:val="center"/>
          </w:tcPr>
          <w:p w:rsidR="008C5C09" w:rsidRPr="002D5AB7" w:rsidRDefault="008C5C09" w:rsidP="00836E6E">
            <w:pPr>
              <w:jc w:val="center"/>
              <w:rPr>
                <w:rFonts w:ascii="Arial" w:hAnsi="Arial" w:cs="Arial"/>
                <w:lang w:val="sr-Cyrl-CS"/>
              </w:rPr>
            </w:pPr>
            <w:r>
              <w:rPr>
                <w:rFonts w:ascii="Arial" w:hAnsi="Arial" w:cs="Arial"/>
                <w:sz w:val="22"/>
                <w:szCs w:val="22"/>
                <w:lang w:val="sr-Cyrl-CS"/>
              </w:rPr>
              <w:t>1</w:t>
            </w:r>
          </w:p>
        </w:tc>
        <w:tc>
          <w:tcPr>
            <w:tcW w:w="3830" w:type="dxa"/>
            <w:vAlign w:val="center"/>
          </w:tcPr>
          <w:p w:rsidR="008C5C09" w:rsidRPr="002D5AB7" w:rsidRDefault="008C5C09" w:rsidP="00836E6E">
            <w:pPr>
              <w:jc w:val="center"/>
              <w:rPr>
                <w:rFonts w:ascii="Arial" w:hAnsi="Arial" w:cs="Arial"/>
                <w:lang w:val="sr-Cyrl-CS"/>
              </w:rPr>
            </w:pPr>
            <w:r>
              <w:rPr>
                <w:rFonts w:ascii="Arial" w:hAnsi="Arial" w:cs="Arial"/>
                <w:sz w:val="22"/>
                <w:szCs w:val="22"/>
                <w:lang w:val="sr-Cyrl-CS"/>
              </w:rPr>
              <w:t>2</w:t>
            </w:r>
          </w:p>
        </w:tc>
        <w:tc>
          <w:tcPr>
            <w:tcW w:w="709" w:type="dxa"/>
            <w:vAlign w:val="center"/>
          </w:tcPr>
          <w:p w:rsidR="008C5C09" w:rsidRPr="002D5AB7" w:rsidRDefault="008C5C09" w:rsidP="00836E6E">
            <w:pPr>
              <w:jc w:val="center"/>
              <w:rPr>
                <w:rFonts w:ascii="Arial" w:hAnsi="Arial" w:cs="Arial"/>
                <w:lang w:val="sr-Cyrl-CS"/>
              </w:rPr>
            </w:pPr>
            <w:r>
              <w:rPr>
                <w:rFonts w:ascii="Arial" w:hAnsi="Arial" w:cs="Arial"/>
                <w:sz w:val="22"/>
                <w:szCs w:val="22"/>
                <w:lang w:val="sr-Cyrl-CS"/>
              </w:rPr>
              <w:t>3</w:t>
            </w:r>
          </w:p>
        </w:tc>
        <w:tc>
          <w:tcPr>
            <w:tcW w:w="1134" w:type="dxa"/>
            <w:vAlign w:val="center"/>
          </w:tcPr>
          <w:p w:rsidR="008C5C09" w:rsidRPr="002D5AB7" w:rsidRDefault="008C5C09" w:rsidP="00836E6E">
            <w:pPr>
              <w:jc w:val="center"/>
              <w:rPr>
                <w:rFonts w:ascii="Arial" w:hAnsi="Arial" w:cs="Arial"/>
                <w:lang w:val="sr-Cyrl-CS"/>
              </w:rPr>
            </w:pPr>
            <w:r>
              <w:rPr>
                <w:rFonts w:ascii="Arial" w:hAnsi="Arial" w:cs="Arial"/>
                <w:sz w:val="22"/>
                <w:szCs w:val="22"/>
                <w:lang w:val="sr-Cyrl-CS"/>
              </w:rPr>
              <w:t>4</w:t>
            </w:r>
          </w:p>
        </w:tc>
        <w:tc>
          <w:tcPr>
            <w:tcW w:w="1701" w:type="dxa"/>
            <w:vAlign w:val="center"/>
          </w:tcPr>
          <w:p w:rsidR="008C5C09" w:rsidRPr="00BA3BC0" w:rsidRDefault="008C5C09" w:rsidP="00836E6E">
            <w:pPr>
              <w:jc w:val="center"/>
            </w:pPr>
            <w:r>
              <w:t>5</w:t>
            </w:r>
          </w:p>
        </w:tc>
        <w:tc>
          <w:tcPr>
            <w:tcW w:w="1984" w:type="dxa"/>
            <w:vAlign w:val="center"/>
          </w:tcPr>
          <w:p w:rsidR="008C5C09" w:rsidRPr="00BA3BC0" w:rsidRDefault="008C5C09" w:rsidP="00836E6E">
            <w:pPr>
              <w:jc w:val="center"/>
            </w:pPr>
            <w:r>
              <w:t>6(4*5)</w:t>
            </w:r>
          </w:p>
        </w:tc>
      </w:tr>
      <w:tr w:rsidR="008C5C09" w:rsidRPr="00937842" w:rsidTr="00836E6E">
        <w:trPr>
          <w:trHeight w:val="347"/>
        </w:trPr>
        <w:tc>
          <w:tcPr>
            <w:tcW w:w="531" w:type="dxa"/>
          </w:tcPr>
          <w:p w:rsidR="008C5C09" w:rsidRPr="00937842" w:rsidRDefault="008C5C09" w:rsidP="00836E6E">
            <w:pPr>
              <w:jc w:val="both"/>
              <w:rPr>
                <w:rFonts w:ascii="Arial" w:hAnsi="Arial" w:cs="Arial"/>
                <w:lang w:val="en-US"/>
              </w:rPr>
            </w:pPr>
            <w:r>
              <w:rPr>
                <w:rFonts w:ascii="Arial" w:hAnsi="Arial" w:cs="Arial"/>
                <w:sz w:val="22"/>
                <w:szCs w:val="22"/>
                <w:lang w:val="en-US"/>
              </w:rPr>
              <w:t>1</w:t>
            </w:r>
          </w:p>
        </w:tc>
        <w:tc>
          <w:tcPr>
            <w:tcW w:w="3830" w:type="dxa"/>
          </w:tcPr>
          <w:p w:rsidR="008C5C09" w:rsidRDefault="008C5C09" w:rsidP="00836E6E">
            <w:r>
              <w:t>Натријумова сијалица 110 W,за монтажу у грло Е27, напона 220V-250V.Сијалица је елипсастог облика.Температура боје светлости треба да износи око 4000К. Одређени светлосни флукс минимум 6000lm.Сијалица треба да има просечан животни век од мин. 20000 сати</w:t>
            </w:r>
          </w:p>
          <w:p w:rsidR="008C5C09" w:rsidRPr="002E35EA" w:rsidRDefault="008C5C09" w:rsidP="00836E6E">
            <w:pPr>
              <w:rPr>
                <w:rFonts w:ascii="Arial" w:hAnsi="Arial" w:cs="Arial"/>
              </w:rPr>
            </w:pPr>
            <w:r>
              <w:t xml:space="preserve"> Philips, Osram, GE или одговарајућа</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220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rPr>
          <w:trHeight w:val="423"/>
        </w:trPr>
        <w:tc>
          <w:tcPr>
            <w:tcW w:w="531" w:type="dxa"/>
          </w:tcPr>
          <w:p w:rsidR="008C5C09" w:rsidRPr="004506C1" w:rsidRDefault="008C5C09" w:rsidP="00836E6E">
            <w:pPr>
              <w:jc w:val="both"/>
              <w:rPr>
                <w:rFonts w:ascii="Arial" w:hAnsi="Arial" w:cs="Arial"/>
                <w:lang w:val="en-US"/>
              </w:rPr>
            </w:pPr>
            <w:r>
              <w:rPr>
                <w:rFonts w:ascii="Arial" w:hAnsi="Arial" w:cs="Arial"/>
                <w:sz w:val="22"/>
                <w:szCs w:val="22"/>
                <w:lang w:val="en-US"/>
              </w:rPr>
              <w:t>2</w:t>
            </w:r>
          </w:p>
        </w:tc>
        <w:tc>
          <w:tcPr>
            <w:tcW w:w="3830" w:type="dxa"/>
          </w:tcPr>
          <w:p w:rsidR="008C5C09" w:rsidRPr="00937842" w:rsidRDefault="008C5C09" w:rsidP="00836E6E">
            <w:pPr>
              <w:jc w:val="both"/>
              <w:rPr>
                <w:rFonts w:ascii="Arial" w:hAnsi="Arial" w:cs="Arial"/>
              </w:rPr>
            </w:pPr>
            <w:r>
              <w:t>Натријумова сијалица високог притиска 70W ,за монтажу у грло Е27,напона 220V-240V. Сијалица је цевастог (тубастог) облика. Температура боје светлости треба да износи 2000 К.Сијалица треба да има просечан животни век мин. 28000 сати.Потребно је да сијалица има светлосни флукс мин 6000lm и што краће време поновног пропаљивања. Philips,Osram,Ge или одговарајућа</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200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rPr>
          <w:trHeight w:val="500"/>
        </w:trPr>
        <w:tc>
          <w:tcPr>
            <w:tcW w:w="531" w:type="dxa"/>
          </w:tcPr>
          <w:p w:rsidR="008C5C09" w:rsidRPr="00937842" w:rsidRDefault="008C5C09" w:rsidP="00836E6E">
            <w:pPr>
              <w:jc w:val="both"/>
              <w:rPr>
                <w:rFonts w:ascii="Arial" w:hAnsi="Arial" w:cs="Arial"/>
              </w:rPr>
            </w:pPr>
            <w:r>
              <w:rPr>
                <w:rFonts w:ascii="Arial" w:hAnsi="Arial" w:cs="Arial"/>
                <w:sz w:val="22"/>
                <w:szCs w:val="22"/>
              </w:rPr>
              <w:t>3</w:t>
            </w:r>
          </w:p>
        </w:tc>
        <w:tc>
          <w:tcPr>
            <w:tcW w:w="3830" w:type="dxa"/>
          </w:tcPr>
          <w:p w:rsidR="008C5C09" w:rsidRDefault="008C5C09" w:rsidP="00836E6E">
            <w:pPr>
              <w:jc w:val="both"/>
            </w:pPr>
            <w:r>
              <w:t xml:space="preserve">Натријумова сијалица високог притиска 100W ,за монтажу у грло Е40,напона 220V-240V. Сијалица је цевастог (тубастог) облика. Температура боје светлости треба да износи 2000 К. Сијалица треба да има просечан животни век мин 32000 сати. Потребно је да сијалица има светлосни флукс мин.10000 lm и што краће време поновног пропаљивања, </w:t>
            </w:r>
          </w:p>
          <w:p w:rsidR="008C5C09" w:rsidRPr="00937842" w:rsidRDefault="008C5C09" w:rsidP="00836E6E">
            <w:pPr>
              <w:jc w:val="both"/>
              <w:rPr>
                <w:rFonts w:ascii="Arial" w:hAnsi="Arial" w:cs="Arial"/>
              </w:rPr>
            </w:pPr>
            <w:r>
              <w:t>Philips,Osram,GE или одговарајућа</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25</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rPr>
          <w:trHeight w:val="423"/>
        </w:trPr>
        <w:tc>
          <w:tcPr>
            <w:tcW w:w="531" w:type="dxa"/>
          </w:tcPr>
          <w:p w:rsidR="008C5C09" w:rsidRPr="00937842" w:rsidRDefault="008C5C09" w:rsidP="00836E6E">
            <w:pPr>
              <w:jc w:val="both"/>
              <w:rPr>
                <w:rFonts w:ascii="Arial" w:hAnsi="Arial" w:cs="Arial"/>
              </w:rPr>
            </w:pPr>
            <w:r>
              <w:rPr>
                <w:rFonts w:ascii="Arial" w:hAnsi="Arial" w:cs="Arial"/>
                <w:sz w:val="22"/>
                <w:szCs w:val="22"/>
              </w:rPr>
              <w:t>4</w:t>
            </w:r>
          </w:p>
        </w:tc>
        <w:tc>
          <w:tcPr>
            <w:tcW w:w="3830" w:type="dxa"/>
          </w:tcPr>
          <w:p w:rsidR="008C5C09" w:rsidRPr="00937842" w:rsidRDefault="008C5C09" w:rsidP="00836E6E">
            <w:pPr>
              <w:jc w:val="both"/>
              <w:rPr>
                <w:rFonts w:ascii="Arial" w:hAnsi="Arial" w:cs="Arial"/>
                <w:lang w:val="sr-Cyrl-CS"/>
              </w:rPr>
            </w:pPr>
            <w:r>
              <w:t xml:space="preserve">Натријумова сијалица високог притиска 150W ,за монтажу у грло </w:t>
            </w:r>
            <w:r>
              <w:lastRenderedPageBreak/>
              <w:t>Е40,напона 220V-240V. Сијалица је цевастог (тубастог) облика. Температура боје светлости треба да износи 2000 К. Сијалица треба да има просечан животни век мин.32000 сати.Потребно је да сијалица има светлосни флукс мин 17500 lm и што краће време поновног пропаљивања, Philips,Osram,GE или одговарајућа</w:t>
            </w:r>
          </w:p>
        </w:tc>
        <w:tc>
          <w:tcPr>
            <w:tcW w:w="709" w:type="dxa"/>
          </w:tcPr>
          <w:p w:rsidR="008C5C09" w:rsidRPr="00937842" w:rsidRDefault="008C5C09" w:rsidP="00836E6E">
            <w:pPr>
              <w:jc w:val="center"/>
              <w:rPr>
                <w:rFonts w:ascii="Arial" w:hAnsi="Arial" w:cs="Arial"/>
                <w:lang w:val="sr-Cyrl-CS"/>
              </w:rPr>
            </w:pPr>
            <w:r>
              <w:lastRenderedPageBreak/>
              <w:t>ком</w:t>
            </w:r>
          </w:p>
        </w:tc>
        <w:tc>
          <w:tcPr>
            <w:tcW w:w="1134" w:type="dxa"/>
            <w:vAlign w:val="center"/>
          </w:tcPr>
          <w:p w:rsidR="008C5C09" w:rsidRPr="002E35EA" w:rsidRDefault="008C5C09" w:rsidP="00836E6E">
            <w:pPr>
              <w:jc w:val="right"/>
            </w:pPr>
            <w:r>
              <w:t>50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lastRenderedPageBreak/>
              <w:t>5</w:t>
            </w:r>
          </w:p>
        </w:tc>
        <w:tc>
          <w:tcPr>
            <w:tcW w:w="3830" w:type="dxa"/>
          </w:tcPr>
          <w:p w:rsidR="008C5C09" w:rsidRDefault="008C5C09" w:rsidP="00836E6E">
            <w:pPr>
              <w:jc w:val="both"/>
            </w:pPr>
            <w:r>
              <w:t xml:space="preserve">Метал халогена трокомпонентне технологије снаге 400W, за монтажу у грло Е40,напона 230V - 240V.Сијалица је цевастог (тубастог) облика.Температура боје светлости треба да износи 4200К. Сијалица треба да има просечан животни век 16000 сати.Сијалица треба да ради на предспојним уређајима и за живине и за натријумске сијалице. Потребно је да сијалица има светлосни флукс мин.32000lm </w:t>
            </w:r>
          </w:p>
          <w:p w:rsidR="008C5C09" w:rsidRPr="00937842" w:rsidRDefault="008C5C09" w:rsidP="00836E6E">
            <w:pPr>
              <w:jc w:val="both"/>
              <w:rPr>
                <w:rFonts w:ascii="Arial" w:hAnsi="Arial" w:cs="Arial"/>
                <w:lang w:val="en-US"/>
              </w:rPr>
            </w:pPr>
            <w:r>
              <w:t>Philips,Osram,GE или одговарајућа</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30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t>6</w:t>
            </w:r>
          </w:p>
        </w:tc>
        <w:tc>
          <w:tcPr>
            <w:tcW w:w="3830" w:type="dxa"/>
          </w:tcPr>
          <w:p w:rsidR="008C5C09" w:rsidRPr="00937842" w:rsidRDefault="008C5C09" w:rsidP="00836E6E">
            <w:pPr>
              <w:jc w:val="both"/>
              <w:rPr>
                <w:rFonts w:ascii="Arial" w:hAnsi="Arial" w:cs="Arial"/>
                <w:lang w:val="sr-Cyrl-CS"/>
              </w:rPr>
            </w:pPr>
            <w:r>
              <w:t>Пригушница 125 W (Fep,Švabe, или одговарајући)</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50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t>7</w:t>
            </w:r>
          </w:p>
        </w:tc>
        <w:tc>
          <w:tcPr>
            <w:tcW w:w="3830" w:type="dxa"/>
          </w:tcPr>
          <w:p w:rsidR="008C5C09" w:rsidRPr="00937842" w:rsidRDefault="008C5C09" w:rsidP="00836E6E">
            <w:pPr>
              <w:jc w:val="both"/>
              <w:rPr>
                <w:rFonts w:ascii="Arial" w:hAnsi="Arial" w:cs="Arial"/>
                <w:lang w:val="sr-Cyrl-CS"/>
              </w:rPr>
            </w:pPr>
            <w:r>
              <w:t>Светиљка стубна 125W -комплет са сенилом и стаклом</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90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t>8</w:t>
            </w:r>
          </w:p>
        </w:tc>
        <w:tc>
          <w:tcPr>
            <w:tcW w:w="3830" w:type="dxa"/>
          </w:tcPr>
          <w:p w:rsidR="008C5C09" w:rsidRPr="00937842" w:rsidRDefault="008C5C09" w:rsidP="00836E6E">
            <w:pPr>
              <w:jc w:val="both"/>
              <w:rPr>
                <w:rFonts w:ascii="Arial" w:hAnsi="Arial" w:cs="Arial"/>
                <w:lang w:val="sr-Cyrl-BA"/>
              </w:rPr>
            </w:pPr>
            <w:r>
              <w:t>Стакло заштитно 200W</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400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4506C1" w:rsidRDefault="008C5C09" w:rsidP="00836E6E">
            <w:pPr>
              <w:jc w:val="both"/>
              <w:rPr>
                <w:rFonts w:ascii="Arial" w:hAnsi="Arial" w:cs="Arial"/>
                <w:lang w:val="en-US"/>
              </w:rPr>
            </w:pPr>
            <w:r>
              <w:rPr>
                <w:rFonts w:ascii="Arial" w:hAnsi="Arial" w:cs="Arial"/>
                <w:sz w:val="22"/>
                <w:szCs w:val="22"/>
                <w:lang w:val="en-US"/>
              </w:rPr>
              <w:t>9</w:t>
            </w:r>
          </w:p>
        </w:tc>
        <w:tc>
          <w:tcPr>
            <w:tcW w:w="3830" w:type="dxa"/>
          </w:tcPr>
          <w:p w:rsidR="008C5C09" w:rsidRPr="00873781" w:rsidRDefault="008C5C09" w:rsidP="00836E6E">
            <w:pPr>
              <w:jc w:val="both"/>
              <w:rPr>
                <w:rFonts w:ascii="Arial" w:hAnsi="Arial" w:cs="Arial"/>
              </w:rPr>
            </w:pPr>
            <w:r>
              <w:t>Кабал SKS 2 x 16 мм надземни</w:t>
            </w:r>
          </w:p>
        </w:tc>
        <w:tc>
          <w:tcPr>
            <w:tcW w:w="709" w:type="dxa"/>
          </w:tcPr>
          <w:p w:rsidR="008C5C09" w:rsidRPr="00873781" w:rsidRDefault="008C5C09" w:rsidP="00836E6E">
            <w:pPr>
              <w:rPr>
                <w:rFonts w:ascii="Arial" w:hAnsi="Arial" w:cs="Arial"/>
              </w:rPr>
            </w:pPr>
            <w:r>
              <w:t xml:space="preserve">  м</w:t>
            </w:r>
          </w:p>
        </w:tc>
        <w:tc>
          <w:tcPr>
            <w:tcW w:w="1134" w:type="dxa"/>
            <w:vAlign w:val="center"/>
          </w:tcPr>
          <w:p w:rsidR="008C5C09" w:rsidRPr="002E35EA" w:rsidRDefault="008C5C09" w:rsidP="00836E6E">
            <w:pPr>
              <w:jc w:val="right"/>
            </w:pPr>
            <w:r>
              <w:t>1000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t>10</w:t>
            </w:r>
          </w:p>
        </w:tc>
        <w:tc>
          <w:tcPr>
            <w:tcW w:w="3830" w:type="dxa"/>
          </w:tcPr>
          <w:p w:rsidR="008C5C09" w:rsidRPr="00937842" w:rsidRDefault="008C5C09" w:rsidP="00836E6E">
            <w:pPr>
              <w:jc w:val="both"/>
              <w:rPr>
                <w:rFonts w:ascii="Arial" w:hAnsi="Arial" w:cs="Arial"/>
                <w:lang w:val="sr-Cyrl-CS"/>
              </w:rPr>
            </w:pPr>
            <w:r>
              <w:t>Шпан шраф 8 са кукама</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2E35EA" w:rsidRDefault="008C5C09" w:rsidP="00836E6E">
            <w:pPr>
              <w:jc w:val="right"/>
            </w:pPr>
            <w:r>
              <w:t>10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t>11</w:t>
            </w:r>
          </w:p>
        </w:tc>
        <w:tc>
          <w:tcPr>
            <w:tcW w:w="3830" w:type="dxa"/>
          </w:tcPr>
          <w:p w:rsidR="008C5C09" w:rsidRPr="00937842" w:rsidRDefault="008C5C09" w:rsidP="00836E6E">
            <w:pPr>
              <w:jc w:val="both"/>
              <w:rPr>
                <w:rFonts w:ascii="Arial" w:hAnsi="Arial" w:cs="Arial"/>
                <w:lang w:val="sr-Cyrl-CS"/>
              </w:rPr>
            </w:pPr>
            <w:r>
              <w:t>AL-AL клема 6-35 mm</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F34B63" w:rsidRDefault="008C5C09" w:rsidP="00836E6E">
            <w:pPr>
              <w:jc w:val="right"/>
            </w:pPr>
            <w:r>
              <w:t>30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t>12</w:t>
            </w:r>
          </w:p>
        </w:tc>
        <w:tc>
          <w:tcPr>
            <w:tcW w:w="3830" w:type="dxa"/>
          </w:tcPr>
          <w:p w:rsidR="008C5C09" w:rsidRPr="00937842" w:rsidRDefault="008C5C09" w:rsidP="00836E6E">
            <w:pPr>
              <w:jc w:val="both"/>
              <w:rPr>
                <w:rFonts w:ascii="Arial" w:hAnsi="Arial" w:cs="Arial"/>
              </w:rPr>
            </w:pPr>
            <w:r>
              <w:t>Светиљка за сијалицу, NAT 150W koја је опремљена T-POT рефлектором SON-T натријумском сијалицом високог притиска снаге 150 W и дифузором од равног ојачаног стакла.Предспојни блок треба да буде у класи II,а елементи треба да буду заштићени од додира поклопцем од изолационог материјала.Светиљка треба да има заштиту оптичког и предспојног блока у заштити IP66 .Светиљка је одговарајућа типу “Selenijum” произвођача Philips.</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F34B63" w:rsidRDefault="008C5C09" w:rsidP="00836E6E">
            <w:pPr>
              <w:jc w:val="right"/>
            </w:pPr>
            <w:r>
              <w:t>50</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c>
          <w:tcPr>
            <w:tcW w:w="531" w:type="dxa"/>
          </w:tcPr>
          <w:p w:rsidR="008C5C09" w:rsidRPr="00937842" w:rsidRDefault="008C5C09" w:rsidP="00836E6E">
            <w:pPr>
              <w:jc w:val="both"/>
              <w:rPr>
                <w:rFonts w:ascii="Arial" w:hAnsi="Arial" w:cs="Arial"/>
              </w:rPr>
            </w:pPr>
            <w:r>
              <w:rPr>
                <w:rFonts w:ascii="Arial" w:hAnsi="Arial" w:cs="Arial"/>
                <w:sz w:val="22"/>
                <w:szCs w:val="22"/>
              </w:rPr>
              <w:lastRenderedPageBreak/>
              <w:t>13</w:t>
            </w:r>
          </w:p>
        </w:tc>
        <w:tc>
          <w:tcPr>
            <w:tcW w:w="3830" w:type="dxa"/>
          </w:tcPr>
          <w:p w:rsidR="008C5C09" w:rsidRPr="00937842" w:rsidRDefault="008C5C09" w:rsidP="00836E6E">
            <w:pPr>
              <w:jc w:val="both"/>
              <w:rPr>
                <w:rFonts w:ascii="Arial" w:hAnsi="Arial" w:cs="Arial"/>
                <w:lang w:val="sr-Cyrl-CS"/>
              </w:rPr>
            </w:pPr>
            <w:r>
              <w:t>Рефлектор 400W за сијалицу метал халогена или натријум високог притиска 400W - без сијалице Tempo 3 RVP351 HPI-TP400 W K A ili odgovarajuća</w:t>
            </w:r>
          </w:p>
        </w:tc>
        <w:tc>
          <w:tcPr>
            <w:tcW w:w="709" w:type="dxa"/>
          </w:tcPr>
          <w:p w:rsidR="008C5C09" w:rsidRPr="00937842" w:rsidRDefault="008C5C09" w:rsidP="00836E6E">
            <w:pPr>
              <w:jc w:val="center"/>
              <w:rPr>
                <w:rFonts w:ascii="Arial" w:hAnsi="Arial" w:cs="Arial"/>
                <w:lang w:val="sr-Cyrl-CS"/>
              </w:rPr>
            </w:pPr>
            <w:r>
              <w:t>ком</w:t>
            </w:r>
          </w:p>
        </w:tc>
        <w:tc>
          <w:tcPr>
            <w:tcW w:w="1134" w:type="dxa"/>
            <w:vAlign w:val="center"/>
          </w:tcPr>
          <w:p w:rsidR="008C5C09" w:rsidRPr="00F34B63" w:rsidRDefault="008C5C09" w:rsidP="00836E6E">
            <w:pPr>
              <w:jc w:val="right"/>
            </w:pPr>
            <w:r>
              <w:t>14</w:t>
            </w:r>
          </w:p>
        </w:tc>
        <w:tc>
          <w:tcPr>
            <w:tcW w:w="1701" w:type="dxa"/>
          </w:tcPr>
          <w:p w:rsidR="008C5C09" w:rsidRPr="00937842" w:rsidRDefault="008C5C09" w:rsidP="00836E6E">
            <w:pPr>
              <w:jc w:val="both"/>
              <w:rPr>
                <w:rFonts w:ascii="Arial" w:hAnsi="Arial" w:cs="Arial"/>
                <w:lang w:val="sr-Cyrl-CS"/>
              </w:rPr>
            </w:pPr>
          </w:p>
        </w:tc>
        <w:tc>
          <w:tcPr>
            <w:tcW w:w="1984" w:type="dxa"/>
          </w:tcPr>
          <w:p w:rsidR="008C5C09" w:rsidRPr="00937842" w:rsidRDefault="008C5C09" w:rsidP="00836E6E">
            <w:pPr>
              <w:jc w:val="both"/>
              <w:rPr>
                <w:rFonts w:ascii="Arial" w:hAnsi="Arial" w:cs="Arial"/>
                <w:lang w:val="sr-Cyrl-CS"/>
              </w:rPr>
            </w:pPr>
          </w:p>
        </w:tc>
      </w:tr>
      <w:tr w:rsidR="008C5C09" w:rsidRPr="00937842" w:rsidTr="00836E6E">
        <w:trPr>
          <w:trHeight w:val="562"/>
        </w:trPr>
        <w:tc>
          <w:tcPr>
            <w:tcW w:w="7905" w:type="dxa"/>
            <w:gridSpan w:val="5"/>
          </w:tcPr>
          <w:p w:rsidR="008C5C09" w:rsidRPr="007167F5" w:rsidRDefault="008C5C09" w:rsidP="00836E6E">
            <w:pPr>
              <w:rPr>
                <w:b/>
                <w:lang w:val="en-US"/>
              </w:rPr>
            </w:pPr>
          </w:p>
          <w:p w:rsidR="008C5C09" w:rsidRPr="00937842" w:rsidRDefault="008C5C09" w:rsidP="00836E6E">
            <w:r w:rsidRPr="00937842">
              <w:rPr>
                <w:b/>
                <w:lang w:val="sr-Cyrl-CS"/>
              </w:rPr>
              <w:t xml:space="preserve">                                                                                     УКУПНО без ПДВ-а</w:t>
            </w:r>
          </w:p>
        </w:tc>
        <w:tc>
          <w:tcPr>
            <w:tcW w:w="1984" w:type="dxa"/>
            <w:tcBorders>
              <w:left w:val="single" w:sz="4" w:space="0" w:color="auto"/>
            </w:tcBorders>
          </w:tcPr>
          <w:p w:rsidR="008C5C09" w:rsidRPr="00937842" w:rsidRDefault="008C5C09" w:rsidP="00836E6E"/>
        </w:tc>
      </w:tr>
      <w:tr w:rsidR="008C5C09" w:rsidRPr="00937842" w:rsidTr="00836E6E">
        <w:trPr>
          <w:trHeight w:val="562"/>
        </w:trPr>
        <w:tc>
          <w:tcPr>
            <w:tcW w:w="7905" w:type="dxa"/>
            <w:gridSpan w:val="5"/>
          </w:tcPr>
          <w:p w:rsidR="008C5C09" w:rsidRPr="00937842" w:rsidRDefault="008C5C09" w:rsidP="00836E6E">
            <w:pPr>
              <w:rPr>
                <w:lang w:val="sr-Cyrl-CS"/>
              </w:rPr>
            </w:pPr>
          </w:p>
          <w:p w:rsidR="008C5C09" w:rsidRPr="00937842" w:rsidRDefault="008C5C09" w:rsidP="00836E6E">
            <w:r w:rsidRPr="00937842">
              <w:rPr>
                <w:b/>
                <w:lang w:val="sr-Cyrl-CS"/>
              </w:rPr>
              <w:t xml:space="preserve">                                                                                                                ПДВ:</w:t>
            </w:r>
          </w:p>
        </w:tc>
        <w:tc>
          <w:tcPr>
            <w:tcW w:w="1984" w:type="dxa"/>
            <w:tcBorders>
              <w:left w:val="single" w:sz="4" w:space="0" w:color="auto"/>
            </w:tcBorders>
          </w:tcPr>
          <w:p w:rsidR="008C5C09" w:rsidRPr="00937842" w:rsidRDefault="008C5C09" w:rsidP="00836E6E"/>
        </w:tc>
      </w:tr>
      <w:tr w:rsidR="008C5C09" w:rsidRPr="00937842" w:rsidTr="00836E6E">
        <w:trPr>
          <w:trHeight w:val="562"/>
        </w:trPr>
        <w:tc>
          <w:tcPr>
            <w:tcW w:w="7905" w:type="dxa"/>
            <w:gridSpan w:val="5"/>
          </w:tcPr>
          <w:p w:rsidR="008C5C09" w:rsidRPr="00937842" w:rsidRDefault="008C5C09" w:rsidP="00836E6E">
            <w:pPr>
              <w:rPr>
                <w:lang w:val="sr-Cyrl-CS"/>
              </w:rPr>
            </w:pPr>
          </w:p>
          <w:p w:rsidR="008C5C09" w:rsidRPr="00937842" w:rsidRDefault="008C5C09" w:rsidP="00836E6E">
            <w:r w:rsidRPr="00937842">
              <w:rPr>
                <w:b/>
                <w:lang w:val="sr-Cyrl-CS"/>
              </w:rPr>
              <w:t xml:space="preserve">                                                                                    УКУПНО са ПДВ-ом</w:t>
            </w:r>
          </w:p>
        </w:tc>
        <w:tc>
          <w:tcPr>
            <w:tcW w:w="1984" w:type="dxa"/>
            <w:tcBorders>
              <w:left w:val="single" w:sz="4" w:space="0" w:color="auto"/>
            </w:tcBorders>
          </w:tcPr>
          <w:p w:rsidR="008C5C09" w:rsidRPr="00937842" w:rsidRDefault="008C5C09" w:rsidP="00836E6E"/>
        </w:tc>
      </w:tr>
    </w:tbl>
    <w:p w:rsidR="008C5C09" w:rsidRPr="00937842" w:rsidRDefault="008C5C09" w:rsidP="008C5C09">
      <w:pPr>
        <w:tabs>
          <w:tab w:val="left" w:pos="6278"/>
        </w:tabs>
        <w:rPr>
          <w:sz w:val="22"/>
          <w:szCs w:val="22"/>
          <w:lang w:val="sr-Cyrl-CS"/>
        </w:rPr>
      </w:pPr>
    </w:p>
    <w:p w:rsidR="008C5C09" w:rsidRDefault="008C5C09" w:rsidP="008C5C09">
      <w:pPr>
        <w:tabs>
          <w:tab w:val="left" w:pos="6278"/>
        </w:tabs>
        <w:rPr>
          <w:sz w:val="22"/>
          <w:szCs w:val="22"/>
          <w:lang w:val="sr-Cyrl-CS"/>
        </w:rPr>
      </w:pPr>
    </w:p>
    <w:p w:rsidR="008C5C09" w:rsidRDefault="008C5C09" w:rsidP="008C5C09">
      <w:pPr>
        <w:tabs>
          <w:tab w:val="left" w:pos="6278"/>
        </w:tabs>
        <w:rPr>
          <w:sz w:val="22"/>
          <w:szCs w:val="22"/>
          <w:lang w:val="sr-Cyrl-CS"/>
        </w:rPr>
      </w:pPr>
    </w:p>
    <w:p w:rsidR="008C5C09" w:rsidRPr="00C92EA7" w:rsidRDefault="008C5C09" w:rsidP="008C5C09">
      <w:pPr>
        <w:tabs>
          <w:tab w:val="left" w:pos="6278"/>
        </w:tabs>
        <w:rPr>
          <w:b/>
        </w:rPr>
      </w:pPr>
      <w:r w:rsidRPr="00C92EA7">
        <w:rPr>
          <w:b/>
        </w:rPr>
        <w:t xml:space="preserve">НАПОМЕНА:  </w:t>
      </w:r>
    </w:p>
    <w:p w:rsidR="008C5C09" w:rsidRPr="00C92EA7" w:rsidRDefault="008C5C09" w:rsidP="008C5C09">
      <w:pPr>
        <w:tabs>
          <w:tab w:val="left" w:pos="6278"/>
        </w:tabs>
        <w:rPr>
          <w:b/>
        </w:rPr>
      </w:pPr>
      <w:r w:rsidRPr="00C92EA7">
        <w:rPr>
          <w:b/>
          <w:i/>
        </w:rPr>
        <w:t xml:space="preserve"> </w:t>
      </w:r>
      <w:r w:rsidRPr="00C92EA7">
        <w:rPr>
          <w:b/>
        </w:rPr>
        <w:t>*Наведене количине у табелама су оквирне и Наручилац задржава право одступања од количина наведених у спецификацији предметне јавне набавке у складу са својим потребама а до вредности закљученог уговора.</w:t>
      </w:r>
    </w:p>
    <w:p w:rsidR="008C5C09" w:rsidRPr="00C92EA7" w:rsidRDefault="008C5C09" w:rsidP="008C5C09">
      <w:pPr>
        <w:autoSpaceDE w:val="0"/>
        <w:autoSpaceDN w:val="0"/>
        <w:adjustRightInd w:val="0"/>
        <w:rPr>
          <w:rFonts w:eastAsia="Calibri"/>
          <w:b/>
          <w:bCs/>
          <w:i/>
          <w:iCs/>
          <w:lang w:val="en-US" w:eastAsia="en-US"/>
        </w:rPr>
      </w:pPr>
      <w:r w:rsidRPr="00C92EA7">
        <w:rPr>
          <w:b/>
        </w:rPr>
        <w:t xml:space="preserve">*Укупна вредност понуде са оквирним количинама служи само ради рангирања понуде. Уговор ће се реализовати по јединичним ценама до укупно процењене вредности набавке- односно до </w:t>
      </w:r>
      <w:r w:rsidRPr="00C92EA7">
        <w:rPr>
          <w:b/>
          <w:lang w:val="sr-Cyrl-BA"/>
        </w:rPr>
        <w:t>износа од</w:t>
      </w:r>
      <w:r w:rsidRPr="00C92EA7">
        <w:rPr>
          <w:rFonts w:eastAsia="Calibri"/>
          <w:b/>
          <w:bCs/>
          <w:i/>
          <w:iCs/>
          <w:lang w:val="en-US" w:eastAsia="en-US"/>
        </w:rPr>
        <w:t xml:space="preserve"> </w:t>
      </w:r>
      <w:r w:rsidRPr="00C92EA7">
        <w:rPr>
          <w:rFonts w:eastAsia="Calibri"/>
          <w:b/>
          <w:bCs/>
          <w:i/>
          <w:iCs/>
          <w:lang w:eastAsia="en-US"/>
        </w:rPr>
        <w:t>1.0</w:t>
      </w:r>
      <w:r w:rsidRPr="00C92EA7">
        <w:rPr>
          <w:rFonts w:eastAsia="Calibri"/>
          <w:b/>
          <w:bCs/>
          <w:i/>
          <w:iCs/>
          <w:lang w:val="en-US" w:eastAsia="en-US"/>
        </w:rPr>
        <w:t xml:space="preserve">00.000,00 </w:t>
      </w:r>
      <w:proofErr w:type="spellStart"/>
      <w:r w:rsidRPr="00C92EA7">
        <w:rPr>
          <w:rFonts w:eastAsia="Calibri"/>
          <w:b/>
          <w:bCs/>
          <w:i/>
          <w:iCs/>
          <w:lang w:val="en-US" w:eastAsia="en-US"/>
        </w:rPr>
        <w:t>дин</w:t>
      </w:r>
      <w:proofErr w:type="spellEnd"/>
      <w:r w:rsidRPr="00C92EA7">
        <w:rPr>
          <w:rFonts w:eastAsia="Calibri"/>
          <w:b/>
          <w:bCs/>
          <w:i/>
          <w:iCs/>
          <w:lang w:val="en-US" w:eastAsia="en-US"/>
        </w:rPr>
        <w:t xml:space="preserve">. </w:t>
      </w:r>
      <w:proofErr w:type="spellStart"/>
      <w:proofErr w:type="gramStart"/>
      <w:r w:rsidRPr="00C92EA7">
        <w:rPr>
          <w:rFonts w:eastAsia="Calibri"/>
          <w:b/>
          <w:bCs/>
          <w:i/>
          <w:iCs/>
          <w:lang w:val="en-US" w:eastAsia="en-US"/>
        </w:rPr>
        <w:t>без</w:t>
      </w:r>
      <w:proofErr w:type="spellEnd"/>
      <w:proofErr w:type="gramEnd"/>
      <w:r w:rsidRPr="00C92EA7">
        <w:rPr>
          <w:rFonts w:eastAsia="Calibri"/>
          <w:b/>
          <w:bCs/>
          <w:i/>
          <w:iCs/>
          <w:lang w:val="en-US" w:eastAsia="en-US"/>
        </w:rPr>
        <w:t xml:space="preserve"> ПДВ-а.</w:t>
      </w:r>
    </w:p>
    <w:p w:rsidR="008C5C09" w:rsidRPr="00C92EA7" w:rsidRDefault="008C5C09" w:rsidP="008C5C09">
      <w:pPr>
        <w:tabs>
          <w:tab w:val="left" w:pos="6278"/>
        </w:tabs>
        <w:rPr>
          <w:b/>
        </w:rPr>
      </w:pPr>
      <w:r w:rsidRPr="00C92EA7">
        <w:rPr>
          <w:b/>
        </w:rPr>
        <w:t xml:space="preserve"> </w:t>
      </w:r>
    </w:p>
    <w:p w:rsidR="008C5C09" w:rsidRPr="00C92EA7" w:rsidRDefault="008C5C09" w:rsidP="008C5C09">
      <w:pPr>
        <w:tabs>
          <w:tab w:val="left" w:pos="6278"/>
        </w:tabs>
        <w:rPr>
          <w:b/>
          <w:sz w:val="22"/>
          <w:szCs w:val="22"/>
          <w:lang w:val="sr-Cyrl-CS"/>
        </w:rPr>
      </w:pPr>
    </w:p>
    <w:p w:rsidR="008C5C09" w:rsidRPr="00C92EA7" w:rsidRDefault="008C5C09" w:rsidP="008C5C09">
      <w:pPr>
        <w:tabs>
          <w:tab w:val="left" w:pos="6278"/>
        </w:tabs>
        <w:rPr>
          <w:sz w:val="22"/>
          <w:szCs w:val="22"/>
          <w:lang w:val="sr-Cyrl-CS"/>
        </w:rPr>
      </w:pPr>
      <w:r w:rsidRPr="00C92EA7">
        <w:rPr>
          <w:sz w:val="22"/>
          <w:szCs w:val="22"/>
          <w:u w:val="single"/>
          <w:lang w:val="sr-Cyrl-CS"/>
        </w:rPr>
        <w:t xml:space="preserve">Контрола квалитета </w:t>
      </w:r>
      <w:r w:rsidRPr="00C92EA7">
        <w:rPr>
          <w:sz w:val="22"/>
          <w:szCs w:val="22"/>
          <w:lang w:val="sr-Cyrl-CS"/>
        </w:rPr>
        <w:t>вршиће се приликом сваке испотуке добара.</w:t>
      </w:r>
    </w:p>
    <w:p w:rsidR="008C5C09" w:rsidRPr="00C92EA7" w:rsidRDefault="008C5C09" w:rsidP="008C5C09">
      <w:pPr>
        <w:tabs>
          <w:tab w:val="left" w:pos="6278"/>
        </w:tabs>
        <w:rPr>
          <w:sz w:val="22"/>
          <w:szCs w:val="22"/>
          <w:lang w:val="sr-Cyrl-CS"/>
        </w:rPr>
      </w:pPr>
      <w:r w:rsidRPr="00C92EA7">
        <w:rPr>
          <w:sz w:val="22"/>
          <w:szCs w:val="22"/>
          <w:u w:val="single"/>
          <w:lang w:val="sr-Cyrl-CS"/>
        </w:rPr>
        <w:t xml:space="preserve">Рекламација </w:t>
      </w:r>
      <w:r w:rsidRPr="00C92EA7">
        <w:rPr>
          <w:sz w:val="22"/>
          <w:szCs w:val="22"/>
          <w:lang w:val="sr-Cyrl-CS"/>
        </w:rPr>
        <w:t>У случају неодговарајуће испоруке у смислу квалитета и рока испоруке Наручилац ће извршити рекламацију.У том случају Понуђач мора приступити отклањању недостатака одмах, а најкасније у року од 5 (пет) дана од дана рекламације и испоручити Наручиоцу добра траженог квалитета.</w:t>
      </w:r>
    </w:p>
    <w:p w:rsidR="008C5C09" w:rsidRPr="00C92EA7" w:rsidRDefault="008C5C09" w:rsidP="008C5C09">
      <w:pPr>
        <w:tabs>
          <w:tab w:val="left" w:pos="6278"/>
        </w:tabs>
        <w:rPr>
          <w:sz w:val="22"/>
          <w:szCs w:val="22"/>
          <w:u w:val="single"/>
          <w:lang w:val="sr-Cyrl-CS"/>
        </w:rPr>
      </w:pPr>
      <w:r w:rsidRPr="00C92EA7">
        <w:rPr>
          <w:sz w:val="22"/>
          <w:szCs w:val="22"/>
          <w:lang w:val="sr-Cyrl-CS"/>
        </w:rPr>
        <w:t>У случају да Понуђач не поступи по позиву за рекламацију Наручилац ће активирати гаранцију за добро извршење посла и умањити фактуру за износ неиспоручене робе.</w:t>
      </w:r>
    </w:p>
    <w:p w:rsidR="008C5C09" w:rsidRPr="00C92EA7" w:rsidRDefault="008C5C09" w:rsidP="008C5C09">
      <w:pPr>
        <w:tabs>
          <w:tab w:val="left" w:pos="6278"/>
        </w:tabs>
        <w:rPr>
          <w:sz w:val="22"/>
          <w:szCs w:val="22"/>
          <w:lang w:val="sr-Cyrl-BA"/>
        </w:rPr>
      </w:pPr>
    </w:p>
    <w:p w:rsidR="008C5C09" w:rsidRDefault="008C5C09" w:rsidP="008C5C09">
      <w:pPr>
        <w:jc w:val="center"/>
        <w:rPr>
          <w:b/>
          <w:lang w:val="sr-Cyrl-CS"/>
        </w:rPr>
      </w:pPr>
    </w:p>
    <w:p w:rsidR="008C5C09" w:rsidRDefault="008C5C09" w:rsidP="008C5C09">
      <w:pPr>
        <w:jc w:val="center"/>
        <w:rPr>
          <w:b/>
          <w:lang w:val="en-US"/>
        </w:rPr>
      </w:pPr>
    </w:p>
    <w:p w:rsidR="008C5C09" w:rsidRDefault="008C5C09" w:rsidP="008C5C09">
      <w:pPr>
        <w:jc w:val="center"/>
        <w:rPr>
          <w:b/>
          <w:lang w:val="en-US"/>
        </w:rPr>
      </w:pPr>
    </w:p>
    <w:p w:rsidR="008C5C09" w:rsidRDefault="008C5C09" w:rsidP="008C5C09">
      <w:pPr>
        <w:jc w:val="center"/>
        <w:rPr>
          <w:b/>
          <w:lang w:val="en-US"/>
        </w:rPr>
      </w:pPr>
    </w:p>
    <w:p w:rsidR="008C5C09" w:rsidRPr="00653BEE" w:rsidRDefault="008C5C09" w:rsidP="008C5C09">
      <w:pPr>
        <w:jc w:val="center"/>
        <w:rPr>
          <w:b/>
          <w:lang w:val="en-US"/>
        </w:rPr>
      </w:pPr>
    </w:p>
    <w:p w:rsidR="008C5C09" w:rsidRDefault="008C5C09" w:rsidP="008C5C09">
      <w:pPr>
        <w:jc w:val="center"/>
        <w:rPr>
          <w:b/>
          <w:lang w:val="sr-Cyrl-CS"/>
        </w:rPr>
      </w:pPr>
    </w:p>
    <w:p w:rsidR="008C5C09" w:rsidRDefault="008C5C09" w:rsidP="008C5C09">
      <w:pPr>
        <w:rPr>
          <w:lang w:val="sr-Cyrl-CS"/>
        </w:rPr>
      </w:pPr>
      <w:r>
        <w:rPr>
          <w:lang w:val="sr-Cyrl-CS"/>
        </w:rPr>
        <w:t xml:space="preserve">                       </w:t>
      </w:r>
      <w:r>
        <w:t xml:space="preserve">                                           </w:t>
      </w:r>
      <w:r>
        <w:rPr>
          <w:lang w:val="sr-Cyrl-CS"/>
        </w:rPr>
        <w:t xml:space="preserve">  М.П.                        </w:t>
      </w:r>
    </w:p>
    <w:p w:rsidR="008C5C09" w:rsidRDefault="008C5C09" w:rsidP="008C5C09">
      <w:pPr>
        <w:rPr>
          <w:sz w:val="22"/>
          <w:szCs w:val="22"/>
          <w:lang w:val="sr-Cyrl-CS"/>
        </w:rPr>
      </w:pPr>
      <w:r>
        <w:rPr>
          <w:lang w:val="sr-Cyrl-CS"/>
        </w:rPr>
        <w:t xml:space="preserve">      </w:t>
      </w:r>
      <w: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Потпис овлашћеног лица понуђача                                                                                             </w:t>
      </w:r>
    </w:p>
    <w:p w:rsidR="008C5C09" w:rsidRPr="001B7278" w:rsidRDefault="008C5C09" w:rsidP="008C5C09">
      <w:pPr>
        <w:rPr>
          <w:sz w:val="22"/>
          <w:szCs w:val="22"/>
        </w:rPr>
      </w:pPr>
      <w:r>
        <w:rPr>
          <w:sz w:val="22"/>
          <w:szCs w:val="22"/>
        </w:rPr>
        <w:t xml:space="preserve">_____________________               </w:t>
      </w:r>
      <w:r>
        <w:rPr>
          <w:sz w:val="22"/>
          <w:szCs w:val="22"/>
        </w:rPr>
        <w:tab/>
      </w:r>
      <w:r>
        <w:rPr>
          <w:sz w:val="22"/>
          <w:szCs w:val="22"/>
        </w:rPr>
        <w:tab/>
      </w:r>
      <w:r>
        <w:rPr>
          <w:sz w:val="22"/>
          <w:szCs w:val="22"/>
        </w:rPr>
        <w:tab/>
      </w:r>
      <w:r>
        <w:rPr>
          <w:sz w:val="22"/>
          <w:szCs w:val="22"/>
        </w:rPr>
        <w:tab/>
        <w:t>_______________________________</w:t>
      </w:r>
    </w:p>
    <w:p w:rsidR="008C5C09" w:rsidRDefault="008C5C09" w:rsidP="008C5C09">
      <w:pPr>
        <w:rPr>
          <w:sz w:val="22"/>
          <w:szCs w:val="22"/>
          <w:lang w:val="en-US"/>
        </w:rPr>
      </w:pPr>
    </w:p>
    <w:p w:rsidR="008C5C09" w:rsidRDefault="008C5C09" w:rsidP="008C5C09">
      <w:pPr>
        <w:rPr>
          <w:sz w:val="22"/>
          <w:szCs w:val="22"/>
          <w:lang w:val="en-US"/>
        </w:rPr>
      </w:pPr>
    </w:p>
    <w:p w:rsidR="00C84229" w:rsidRDefault="00C84229"/>
    <w:sectPr w:rsidR="00C84229" w:rsidSect="00C8422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C09"/>
    <w:rsid w:val="002D4BE2"/>
    <w:rsid w:val="00317343"/>
    <w:rsid w:val="006E61D8"/>
    <w:rsid w:val="00791D80"/>
    <w:rsid w:val="00870FE2"/>
    <w:rsid w:val="008C5C09"/>
    <w:rsid w:val="009569B3"/>
    <w:rsid w:val="009F054A"/>
    <w:rsid w:val="009F67C7"/>
    <w:rsid w:val="00C47CE8"/>
    <w:rsid w:val="00C84229"/>
    <w:rsid w:val="00DB36AF"/>
    <w:rsid w:val="00E46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09"/>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C09"/>
    <w:pPr>
      <w:spacing w:after="0" w:line="240" w:lineRule="auto"/>
    </w:pPr>
  </w:style>
  <w:style w:type="character" w:styleId="Hyperlink">
    <w:name w:val="Hyperlink"/>
    <w:basedOn w:val="DefaultParagraphFont"/>
    <w:uiPriority w:val="99"/>
    <w:unhideWhenUsed/>
    <w:rsid w:val="008C5C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Komunalac Irig</dc:creator>
  <cp:lastModifiedBy>JKP Komunalac Irig</cp:lastModifiedBy>
  <cp:revision>2</cp:revision>
  <cp:lastPrinted>2016-03-01T09:43:00Z</cp:lastPrinted>
  <dcterms:created xsi:type="dcterms:W3CDTF">2016-03-01T10:41:00Z</dcterms:created>
  <dcterms:modified xsi:type="dcterms:W3CDTF">2016-03-01T10:41:00Z</dcterms:modified>
</cp:coreProperties>
</file>